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Pr="00744368">
        <w:rPr>
          <w:rFonts w:eastAsia="MS Mincho" w:cs="Arial"/>
          <w:bCs/>
          <w:sz w:val="24"/>
          <w:szCs w:val="24"/>
          <w:lang w:eastAsia="ja-JP"/>
        </w:rPr>
        <w:t>8</w:t>
      </w:r>
      <w:r w:rsidR="003905E3">
        <w:rPr>
          <w:rFonts w:eastAsia="MS Mincho" w:cs="Arial"/>
          <w:bCs/>
          <w:sz w:val="24"/>
          <w:szCs w:val="24"/>
          <w:lang w:eastAsia="ja-JP"/>
        </w:rPr>
        <w:t>5</w:t>
      </w:r>
      <w:r w:rsidRPr="00744368">
        <w:rPr>
          <w:rFonts w:eastAsia="MS Mincho" w:cs="Arial"/>
          <w:bCs/>
          <w:sz w:val="24"/>
          <w:szCs w:val="24"/>
          <w:lang w:eastAsia="ja-JP"/>
        </w:rPr>
        <w:tab/>
      </w:r>
      <w:r w:rsidRPr="00744368">
        <w:rPr>
          <w:rFonts w:eastAsia="MS Mincho" w:cs="Arial"/>
          <w:bCs/>
          <w:sz w:val="24"/>
          <w:szCs w:val="24"/>
          <w:lang w:eastAsia="ja-JP"/>
        </w:rPr>
        <w:tab/>
      </w:r>
      <w:r w:rsidR="00C47A2C" w:rsidRPr="00C47A2C">
        <w:rPr>
          <w:rFonts w:cs="Arial"/>
          <w:bCs/>
          <w:sz w:val="24"/>
          <w:szCs w:val="24"/>
        </w:rPr>
        <w:t>R1-165262</w:t>
      </w:r>
    </w:p>
    <w:p w:rsidR="003B44BB" w:rsidRPr="00226CA3" w:rsidRDefault="003905E3" w:rsidP="003B44BB">
      <w:pPr>
        <w:pStyle w:val="Header"/>
        <w:rPr>
          <w:rFonts w:eastAsia="MS Mincho" w:cs="Arial"/>
          <w:bCs/>
          <w:sz w:val="24"/>
          <w:szCs w:val="24"/>
          <w:lang w:val="en-US" w:eastAsia="ja-JP"/>
        </w:rPr>
      </w:pPr>
      <w:r w:rsidRPr="003905E3">
        <w:rPr>
          <w:rFonts w:eastAsia="MS Mincho" w:cs="Arial"/>
          <w:bCs/>
          <w:sz w:val="24"/>
          <w:szCs w:val="24"/>
          <w:lang w:val="en-US" w:eastAsia="ja-JP"/>
        </w:rPr>
        <w:t>Nanjing</w:t>
      </w:r>
      <w:r w:rsidR="003B44BB" w:rsidRPr="00226CA3">
        <w:rPr>
          <w:rFonts w:eastAsia="MS Mincho" w:cs="Arial"/>
          <w:bCs/>
          <w:sz w:val="24"/>
          <w:szCs w:val="24"/>
          <w:lang w:val="en-US" w:eastAsia="ja-JP"/>
        </w:rPr>
        <w:t xml:space="preserve">, </w:t>
      </w:r>
      <w:r w:rsidR="00C47A2C">
        <w:rPr>
          <w:rFonts w:eastAsia="MS Mincho" w:cs="Arial"/>
          <w:bCs/>
          <w:sz w:val="24"/>
          <w:szCs w:val="24"/>
          <w:lang w:val="en-US" w:eastAsia="ja-JP"/>
        </w:rPr>
        <w:t xml:space="preserve">PRC, </w:t>
      </w:r>
      <w:r w:rsidRPr="003905E3">
        <w:rPr>
          <w:rFonts w:eastAsia="MS Mincho" w:cs="Arial"/>
          <w:bCs/>
          <w:sz w:val="24"/>
          <w:szCs w:val="24"/>
          <w:lang w:val="en-US" w:eastAsia="ja-JP"/>
        </w:rPr>
        <w:t>23 - 27 May 2016</w:t>
      </w:r>
    </w:p>
    <w:p w:rsidR="00005DBD" w:rsidRPr="00226CA3" w:rsidRDefault="00005DBD" w:rsidP="00005DBD">
      <w:pPr>
        <w:pStyle w:val="FootnoteText"/>
        <w:rPr>
          <w:lang w:val="en-US"/>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3905E3" w:rsidRPr="00C47A2C">
        <w:rPr>
          <w:sz w:val="20"/>
          <w:lang w:val="en-US"/>
        </w:rPr>
        <w:t>Relation between SA and data for V2V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C47A2C" w:rsidRPr="00C47A2C">
        <w:rPr>
          <w:sz w:val="20"/>
          <w:lang w:val="en-US"/>
        </w:rPr>
        <w:t>6.2.2.5</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335A3F" w:rsidRPr="003905E3" w:rsidRDefault="003905E3" w:rsidP="005360AD">
      <w:pPr>
        <w:pStyle w:val="BodyText"/>
        <w:spacing w:after="240"/>
        <w:jc w:val="both"/>
        <w:rPr>
          <w:sz w:val="20"/>
          <w:szCs w:val="20"/>
        </w:rPr>
      </w:pPr>
      <w:r>
        <w:rPr>
          <w:sz w:val="20"/>
          <w:szCs w:val="20"/>
        </w:rPr>
        <w:t xml:space="preserve">In </w:t>
      </w:r>
      <w:r w:rsidR="00335A3F" w:rsidRPr="003905E3">
        <w:rPr>
          <w:sz w:val="20"/>
          <w:szCs w:val="20"/>
        </w:rPr>
        <w:t>RAN1 #84</w:t>
      </w:r>
      <w:r w:rsidR="00F66D4F" w:rsidRPr="003905E3">
        <w:rPr>
          <w:sz w:val="20"/>
          <w:szCs w:val="20"/>
        </w:rPr>
        <w:t>bis</w:t>
      </w:r>
      <w:r>
        <w:rPr>
          <w:sz w:val="20"/>
          <w:szCs w:val="20"/>
        </w:rPr>
        <w:t xml:space="preserve"> it was agreed that</w:t>
      </w:r>
      <w:r w:rsidR="00DE4F23" w:rsidRPr="003905E3">
        <w:rPr>
          <w:sz w:val="20"/>
          <w:szCs w:val="20"/>
        </w:rPr>
        <w:t>:</w:t>
      </w:r>
    </w:p>
    <w:p w:rsidR="00EC185E" w:rsidRPr="008E4001" w:rsidRDefault="00E47C04" w:rsidP="003905E3">
      <w:pPr>
        <w:numPr>
          <w:ilvl w:val="0"/>
          <w:numId w:val="59"/>
        </w:numPr>
        <w:spacing w:after="0"/>
        <w:rPr>
          <w:i/>
        </w:rPr>
      </w:pPr>
      <w:r w:rsidRPr="008E4001">
        <w:rPr>
          <w:i/>
        </w:rPr>
        <w:t>In UE autonomous resource selection mode, SA can be transmitted for every TB.</w:t>
      </w:r>
    </w:p>
    <w:p w:rsidR="00EC185E" w:rsidRPr="008E4001" w:rsidRDefault="00E47C04" w:rsidP="003905E3">
      <w:pPr>
        <w:numPr>
          <w:ilvl w:val="1"/>
          <w:numId w:val="59"/>
        </w:numPr>
        <w:spacing w:after="0"/>
        <w:rPr>
          <w:rFonts w:cs="Times"/>
          <w:i/>
        </w:rPr>
      </w:pPr>
      <w:r w:rsidRPr="008E4001">
        <w:rPr>
          <w:rFonts w:cs="Times"/>
          <w:i/>
        </w:rPr>
        <w:t>FFS whether to support transmitting and/or receiving TB without SA</w:t>
      </w:r>
    </w:p>
    <w:p w:rsidR="00EC185E" w:rsidRPr="008E4001" w:rsidRDefault="00E47C04" w:rsidP="003905E3">
      <w:pPr>
        <w:numPr>
          <w:ilvl w:val="1"/>
          <w:numId w:val="59"/>
        </w:numPr>
        <w:spacing w:after="0"/>
        <w:rPr>
          <w:rFonts w:cs="Times"/>
          <w:i/>
        </w:rPr>
      </w:pPr>
      <w:r w:rsidRPr="008E4001">
        <w:rPr>
          <w:rFonts w:cs="Times"/>
          <w:i/>
        </w:rPr>
        <w:t>FFS whether every data (re)transmission for the same TB has the associated SA transmission.</w:t>
      </w:r>
    </w:p>
    <w:p w:rsidR="003905E3" w:rsidRPr="008E4001" w:rsidRDefault="003905E3" w:rsidP="003905E3">
      <w:pPr>
        <w:spacing w:after="0"/>
        <w:ind w:left="720"/>
        <w:rPr>
          <w:i/>
        </w:rPr>
      </w:pPr>
    </w:p>
    <w:p w:rsidR="003275B3" w:rsidRPr="008E4001" w:rsidRDefault="003275B3" w:rsidP="003275B3">
      <w:pPr>
        <w:numPr>
          <w:ilvl w:val="0"/>
          <w:numId w:val="59"/>
        </w:numPr>
        <w:spacing w:after="0"/>
        <w:rPr>
          <w:i/>
        </w:rPr>
      </w:pPr>
      <w:r w:rsidRPr="008E4001">
        <w:rPr>
          <w:i/>
        </w:rPr>
        <w:t>The following two cases are supported:</w:t>
      </w:r>
    </w:p>
    <w:p w:rsidR="003275B3" w:rsidRPr="008E4001" w:rsidRDefault="003275B3" w:rsidP="003275B3">
      <w:pPr>
        <w:numPr>
          <w:ilvl w:val="1"/>
          <w:numId w:val="59"/>
        </w:numPr>
        <w:spacing w:after="0"/>
        <w:rPr>
          <w:rFonts w:cs="Times"/>
          <w:i/>
        </w:rPr>
      </w:pPr>
      <w:r w:rsidRPr="008E4001">
        <w:rPr>
          <w:rFonts w:cs="Times"/>
          <w:i/>
        </w:rPr>
        <w:t xml:space="preserve">SA and the associated data are transmitted in the same TTI, </w:t>
      </w:r>
    </w:p>
    <w:p w:rsidR="003275B3" w:rsidRPr="008E4001" w:rsidRDefault="003275B3" w:rsidP="003275B3">
      <w:pPr>
        <w:numPr>
          <w:ilvl w:val="1"/>
          <w:numId w:val="59"/>
        </w:numPr>
        <w:spacing w:after="0"/>
        <w:rPr>
          <w:rFonts w:cs="Times"/>
          <w:i/>
        </w:rPr>
      </w:pPr>
      <w:r w:rsidRPr="008E4001">
        <w:rPr>
          <w:rFonts w:cs="Times"/>
          <w:i/>
        </w:rPr>
        <w:t>SA and the associated data are transmitted in different TTIs</w:t>
      </w:r>
    </w:p>
    <w:p w:rsidR="003275B3" w:rsidRPr="008E4001" w:rsidRDefault="003275B3" w:rsidP="003275B3">
      <w:pPr>
        <w:numPr>
          <w:ilvl w:val="2"/>
          <w:numId w:val="59"/>
        </w:numPr>
        <w:spacing w:after="0"/>
        <w:rPr>
          <w:i/>
        </w:rPr>
      </w:pPr>
      <w:r w:rsidRPr="008E4001">
        <w:rPr>
          <w:i/>
        </w:rPr>
        <w:t>The scheduling timing between SA and associated data is variable</w:t>
      </w:r>
    </w:p>
    <w:p w:rsidR="003275B3" w:rsidRPr="008E4001" w:rsidRDefault="003275B3" w:rsidP="003275B3">
      <w:pPr>
        <w:numPr>
          <w:ilvl w:val="3"/>
          <w:numId w:val="59"/>
        </w:numPr>
        <w:spacing w:after="0"/>
        <w:rPr>
          <w:i/>
        </w:rPr>
      </w:pPr>
      <w:r w:rsidRPr="008E4001">
        <w:rPr>
          <w:rFonts w:hint="eastAsia"/>
          <w:i/>
        </w:rPr>
        <w:t xml:space="preserve">In UE-autonomous resource selection mode, the timing is </w:t>
      </w:r>
      <w:r w:rsidRPr="008E4001">
        <w:rPr>
          <w:i/>
        </w:rPr>
        <w:t>chosen by the transmitting UE from a configurable range</w:t>
      </w:r>
    </w:p>
    <w:p w:rsidR="003275B3" w:rsidRPr="008E4001" w:rsidRDefault="003275B3" w:rsidP="003275B3">
      <w:pPr>
        <w:numPr>
          <w:ilvl w:val="3"/>
          <w:numId w:val="59"/>
        </w:numPr>
        <w:spacing w:after="0"/>
        <w:rPr>
          <w:i/>
        </w:rPr>
      </w:pPr>
      <w:r w:rsidRPr="008E4001">
        <w:rPr>
          <w:rFonts w:hint="eastAsia"/>
          <w:i/>
        </w:rPr>
        <w:t>In eNB-scheduling mode, the timing is determined by eNB</w:t>
      </w:r>
    </w:p>
    <w:p w:rsidR="003275B3" w:rsidRPr="008E4001" w:rsidRDefault="003275B3" w:rsidP="003275B3">
      <w:pPr>
        <w:numPr>
          <w:ilvl w:val="3"/>
          <w:numId w:val="59"/>
        </w:numPr>
        <w:spacing w:after="0"/>
        <w:rPr>
          <w:i/>
        </w:rPr>
      </w:pPr>
      <w:r w:rsidRPr="008E4001">
        <w:rPr>
          <w:i/>
        </w:rPr>
        <w:t>SA includes information about the scheduling timing</w:t>
      </w:r>
    </w:p>
    <w:p w:rsidR="003275B3" w:rsidRPr="008E4001" w:rsidRDefault="003275B3" w:rsidP="003275B3">
      <w:pPr>
        <w:numPr>
          <w:ilvl w:val="1"/>
          <w:numId w:val="59"/>
        </w:numPr>
        <w:spacing w:after="0"/>
        <w:rPr>
          <w:rFonts w:cs="Times"/>
          <w:i/>
        </w:rPr>
      </w:pPr>
      <w:r w:rsidRPr="008E4001">
        <w:rPr>
          <w:rFonts w:cs="Times"/>
          <w:i/>
        </w:rPr>
        <w:t>Note: the association does not necessarily include the case of intention of using the resources for a different TB, if any (which is FFS)</w:t>
      </w:r>
      <w:r w:rsidR="003905E3" w:rsidRPr="008E4001">
        <w:rPr>
          <w:rFonts w:cs="Times"/>
          <w:i/>
        </w:rPr>
        <w:t>.</w:t>
      </w:r>
    </w:p>
    <w:p w:rsidR="008E4001" w:rsidRDefault="008E4001" w:rsidP="008E4001"/>
    <w:p w:rsidR="00335A3F" w:rsidRDefault="00264D33" w:rsidP="008E4001">
      <w:r w:rsidRPr="003905E3">
        <w:t xml:space="preserve">In this paper we discuss </w:t>
      </w:r>
      <w:r w:rsidR="003905E3">
        <w:t>open issues regarding the relationship between SA and its associated data</w:t>
      </w:r>
      <w:r w:rsidR="004206EB" w:rsidRPr="003905E3">
        <w:t xml:space="preserve">. </w:t>
      </w:r>
    </w:p>
    <w:p w:rsidR="001C33A7" w:rsidRDefault="008E4001" w:rsidP="001C33A7">
      <w:pPr>
        <w:pStyle w:val="Heading1"/>
      </w:pPr>
      <w:r>
        <w:t>Association of SA and data</w:t>
      </w:r>
    </w:p>
    <w:p w:rsidR="00AC590A" w:rsidRDefault="003521EA" w:rsidP="00AC590A">
      <w:pPr>
        <w:jc w:val="center"/>
      </w:pPr>
      <w:r>
        <w:rPr>
          <w:noProof/>
          <w:lang w:val="en-US"/>
        </w:rPr>
        <w:drawing>
          <wp:inline distT="0" distB="0" distL="0" distR="0" wp14:anchorId="4F3DC711">
            <wp:extent cx="5184000" cy="25046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4000" cy="2504646"/>
                    </a:xfrm>
                    <a:prstGeom prst="rect">
                      <a:avLst/>
                    </a:prstGeom>
                    <a:noFill/>
                  </pic:spPr>
                </pic:pic>
              </a:graphicData>
            </a:graphic>
          </wp:inline>
        </w:drawing>
      </w:r>
    </w:p>
    <w:p w:rsidR="00AC590A" w:rsidRPr="00AC590A" w:rsidRDefault="00AC590A" w:rsidP="00AC590A">
      <w:pPr>
        <w:jc w:val="center"/>
        <w:rPr>
          <w:b/>
        </w:rPr>
      </w:pPr>
      <w:bookmarkStart w:id="3" w:name="_Ref450032406"/>
      <w:r w:rsidRPr="00AC590A">
        <w:rPr>
          <w:b/>
        </w:rPr>
        <w:t xml:space="preserve">Figure </w:t>
      </w:r>
      <w:r w:rsidRPr="00AC590A">
        <w:rPr>
          <w:b/>
        </w:rPr>
        <w:fldChar w:fldCharType="begin"/>
      </w:r>
      <w:r w:rsidRPr="00AC590A">
        <w:rPr>
          <w:b/>
        </w:rPr>
        <w:instrText xml:space="preserve"> SEQ Figure \* ARABIC </w:instrText>
      </w:r>
      <w:r w:rsidRPr="00AC590A">
        <w:rPr>
          <w:b/>
        </w:rPr>
        <w:fldChar w:fldCharType="separate"/>
      </w:r>
      <w:r w:rsidR="00914631">
        <w:rPr>
          <w:b/>
          <w:noProof/>
        </w:rPr>
        <w:t>1</w:t>
      </w:r>
      <w:r w:rsidRPr="00AC590A">
        <w:rPr>
          <w:b/>
        </w:rPr>
        <w:fldChar w:fldCharType="end"/>
      </w:r>
      <w:bookmarkEnd w:id="3"/>
      <w:r w:rsidRPr="00AC590A">
        <w:rPr>
          <w:b/>
        </w:rPr>
        <w:t>: Relation between SA and associated data</w:t>
      </w:r>
    </w:p>
    <w:p w:rsidR="006F773B" w:rsidRDefault="00244B6F" w:rsidP="00124F15">
      <w:pPr>
        <w:jc w:val="both"/>
      </w:pPr>
      <w:r>
        <w:t xml:space="preserve">In our view each data transmission </w:t>
      </w:r>
      <w:r w:rsidR="00C55E21">
        <w:t xml:space="preserve">or retransmission </w:t>
      </w:r>
      <w:r>
        <w:t>necessarily has one associated SA transmission</w:t>
      </w:r>
      <w:r w:rsidR="004B7F6E">
        <w:t xml:space="preserve"> and each SA can schedule more than one data transmission</w:t>
      </w:r>
      <w:r w:rsidR="00124F15">
        <w:t xml:space="preserve">, meaning that an SA may schedule retransmissions of the same TB. In addition, an SA may also book the frequency resources for future use. That is, </w:t>
      </w:r>
      <w:r w:rsidR="00EB3B88">
        <w:t xml:space="preserve">the </w:t>
      </w:r>
      <w:r w:rsidR="006F773B">
        <w:t>SAs correspond</w:t>
      </w:r>
      <w:r w:rsidR="00EB3B88">
        <w:t>ing</w:t>
      </w:r>
      <w:r w:rsidR="006F773B">
        <w:t xml:space="preserve"> to </w:t>
      </w:r>
      <w:r w:rsidR="00617E76">
        <w:t xml:space="preserve">transport block (TB) </w:t>
      </w:r>
      <w:r w:rsidR="006F773B">
        <w:t xml:space="preserve">n </w:t>
      </w:r>
      <w:r w:rsidR="006F773B" w:rsidRPr="006F773B">
        <w:rPr>
          <w:i/>
        </w:rPr>
        <w:t>schedule</w:t>
      </w:r>
      <w:r w:rsidR="006F773B">
        <w:t xml:space="preserve"> </w:t>
      </w:r>
      <w:r w:rsidR="00DE1BD4">
        <w:t>(re)transmissions of TB n</w:t>
      </w:r>
      <w:r w:rsidR="00DE1BD4">
        <w:t xml:space="preserve">  on some frequency </w:t>
      </w:r>
      <w:r w:rsidR="006F773B">
        <w:t xml:space="preserve">resources for </w:t>
      </w:r>
      <w:r w:rsidR="006F773B" w:rsidRPr="006F773B">
        <w:rPr>
          <w:b/>
        </w:rPr>
        <w:t xml:space="preserve">and </w:t>
      </w:r>
      <w:r w:rsidR="006F773B" w:rsidRPr="006F773B">
        <w:rPr>
          <w:i/>
        </w:rPr>
        <w:t>book</w:t>
      </w:r>
      <w:r w:rsidR="006F773B">
        <w:t xml:space="preserve"> </w:t>
      </w:r>
      <w:r w:rsidR="00DE1BD4">
        <w:t xml:space="preserve">the same frequency </w:t>
      </w:r>
      <w:r w:rsidR="006F773B">
        <w:t>resources for (re)transmissions of TB (n+1)</w:t>
      </w:r>
      <w:r w:rsidR="00EB3B88">
        <w:t xml:space="preserve"> (see </w:t>
      </w:r>
      <w:r w:rsidR="00EB3B88" w:rsidRPr="00C55E21">
        <w:fldChar w:fldCharType="begin"/>
      </w:r>
      <w:r w:rsidR="00EB3B88" w:rsidRPr="00C55E21">
        <w:instrText xml:space="preserve"> REF _Ref450032406 \h  \* MERGEFORMAT </w:instrText>
      </w:r>
      <w:r w:rsidR="00EB3B88" w:rsidRPr="00C55E21">
        <w:fldChar w:fldCharType="separate"/>
      </w:r>
      <w:r w:rsidR="00EB3B88" w:rsidRPr="00914631">
        <w:t xml:space="preserve">Figure </w:t>
      </w:r>
      <w:r w:rsidR="00EB3B88" w:rsidRPr="00914631">
        <w:rPr>
          <w:noProof/>
        </w:rPr>
        <w:t>1</w:t>
      </w:r>
      <w:r w:rsidR="00EB3B88" w:rsidRPr="00C55E21">
        <w:fldChar w:fldCharType="end"/>
      </w:r>
      <w:r w:rsidR="00EB3B88">
        <w:t>)</w:t>
      </w:r>
      <w:r w:rsidR="006F773B">
        <w:t xml:space="preserve">. </w:t>
      </w:r>
      <w:r w:rsidR="00EB3B88">
        <w:t xml:space="preserve">The mechanism of scheduling and booking are described in more detail in </w:t>
      </w:r>
      <w:r w:rsidR="00C55E21">
        <w:t>the companion paper</w:t>
      </w:r>
      <w:r w:rsidR="00914631">
        <w:t xml:space="preserve"> </w:t>
      </w:r>
      <w:r w:rsidR="00914631">
        <w:fldChar w:fldCharType="begin"/>
      </w:r>
      <w:r w:rsidR="00914631">
        <w:instrText xml:space="preserve"> REF _Ref450906128 \r \h </w:instrText>
      </w:r>
      <w:r w:rsidR="00914631">
        <w:fldChar w:fldCharType="separate"/>
      </w:r>
      <w:r w:rsidR="00914631">
        <w:t>[1]</w:t>
      </w:r>
      <w:r w:rsidR="00914631">
        <w:fldChar w:fldCharType="end"/>
      </w:r>
      <w:r w:rsidR="004B7F6E">
        <w:t xml:space="preserve">. </w:t>
      </w:r>
      <w:r w:rsidR="006F773B">
        <w:t>The advantage of the above principle is as follows:</w:t>
      </w:r>
    </w:p>
    <w:p w:rsidR="00EB3B88" w:rsidRDefault="0072683D" w:rsidP="0072683D">
      <w:pPr>
        <w:pStyle w:val="ListParagraph"/>
        <w:numPr>
          <w:ilvl w:val="0"/>
          <w:numId w:val="60"/>
        </w:numPr>
        <w:jc w:val="both"/>
        <w:rPr>
          <w:rFonts w:ascii="Times New Roman" w:hAnsi="Times New Roman" w:cs="Times New Roman"/>
          <w:sz w:val="20"/>
          <w:szCs w:val="20"/>
        </w:rPr>
      </w:pPr>
      <w:r w:rsidRPr="0072683D">
        <w:rPr>
          <w:rFonts w:ascii="Times New Roman" w:hAnsi="Times New Roman" w:cs="Times New Roman"/>
          <w:sz w:val="20"/>
          <w:szCs w:val="20"/>
          <w:lang w:val="en-GB"/>
        </w:rPr>
        <w:t>Each data has one SA and an SA can schedule</w:t>
      </w:r>
      <w:r w:rsidR="00473A73">
        <w:rPr>
          <w:rFonts w:ascii="Times New Roman" w:hAnsi="Times New Roman" w:cs="Times New Roman"/>
          <w:sz w:val="20"/>
          <w:szCs w:val="20"/>
          <w:lang w:val="en-GB"/>
        </w:rPr>
        <w:t xml:space="preserve"> a transmission plus</w:t>
      </w:r>
      <w:r w:rsidRPr="0072683D">
        <w:rPr>
          <w:rFonts w:ascii="Times New Roman" w:hAnsi="Times New Roman" w:cs="Times New Roman"/>
          <w:sz w:val="20"/>
          <w:szCs w:val="20"/>
          <w:lang w:val="en-GB"/>
        </w:rPr>
        <w:t xml:space="preserve"> a retransmission</w:t>
      </w:r>
      <w:r w:rsidR="00617E76">
        <w:rPr>
          <w:rFonts w:ascii="Times New Roman" w:hAnsi="Times New Roman" w:cs="Times New Roman"/>
          <w:sz w:val="20"/>
          <w:szCs w:val="20"/>
          <w:lang w:val="en-GB"/>
        </w:rPr>
        <w:t>, which</w:t>
      </w:r>
      <w:r w:rsidRPr="0072683D">
        <w:rPr>
          <w:rFonts w:ascii="Times New Roman" w:hAnsi="Times New Roman" w:cs="Times New Roman"/>
          <w:sz w:val="20"/>
          <w:szCs w:val="20"/>
          <w:lang w:val="en-GB"/>
        </w:rPr>
        <w:t xml:space="preserve"> help</w:t>
      </w:r>
      <w:r w:rsidR="00617E76">
        <w:rPr>
          <w:rFonts w:ascii="Times New Roman" w:hAnsi="Times New Roman" w:cs="Times New Roman"/>
          <w:sz w:val="20"/>
          <w:szCs w:val="20"/>
          <w:lang w:val="en-GB"/>
        </w:rPr>
        <w:t>s</w:t>
      </w:r>
      <w:r w:rsidRPr="0072683D">
        <w:rPr>
          <w:rFonts w:ascii="Times New Roman" w:hAnsi="Times New Roman" w:cs="Times New Roman"/>
          <w:sz w:val="20"/>
          <w:szCs w:val="20"/>
          <w:lang w:val="en-GB"/>
        </w:rPr>
        <w:t xml:space="preserve"> </w:t>
      </w:r>
      <w:r w:rsidR="00244B6F" w:rsidRPr="0072683D">
        <w:rPr>
          <w:rFonts w:ascii="Times New Roman" w:hAnsi="Times New Roman" w:cs="Times New Roman"/>
          <w:sz w:val="20"/>
          <w:szCs w:val="20"/>
        </w:rPr>
        <w:t>increas</w:t>
      </w:r>
      <w:r w:rsidR="00A0349A" w:rsidRPr="0072683D">
        <w:rPr>
          <w:rFonts w:ascii="Times New Roman" w:hAnsi="Times New Roman" w:cs="Times New Roman"/>
          <w:sz w:val="20"/>
          <w:szCs w:val="20"/>
        </w:rPr>
        <w:t>e</w:t>
      </w:r>
      <w:r w:rsidR="00244B6F" w:rsidRPr="0072683D">
        <w:rPr>
          <w:rFonts w:ascii="Times New Roman" w:hAnsi="Times New Roman" w:cs="Times New Roman"/>
          <w:sz w:val="20"/>
          <w:szCs w:val="20"/>
        </w:rPr>
        <w:t xml:space="preserve"> the level</w:t>
      </w:r>
      <w:r w:rsidR="00A0349A" w:rsidRPr="0072683D">
        <w:rPr>
          <w:rFonts w:ascii="Times New Roman" w:hAnsi="Times New Roman" w:cs="Times New Roman"/>
          <w:sz w:val="20"/>
          <w:szCs w:val="20"/>
        </w:rPr>
        <w:t xml:space="preserve"> of protection</w:t>
      </w:r>
      <w:r w:rsidR="00244B6F" w:rsidRPr="0072683D">
        <w:rPr>
          <w:rFonts w:ascii="Times New Roman" w:hAnsi="Times New Roman" w:cs="Times New Roman"/>
          <w:sz w:val="20"/>
          <w:szCs w:val="20"/>
        </w:rPr>
        <w:t xml:space="preserve"> for the </w:t>
      </w:r>
      <w:r w:rsidRPr="0072683D">
        <w:rPr>
          <w:rFonts w:ascii="Times New Roman" w:hAnsi="Times New Roman" w:cs="Times New Roman"/>
          <w:sz w:val="20"/>
          <w:szCs w:val="20"/>
        </w:rPr>
        <w:t>retransmission</w:t>
      </w:r>
      <w:r w:rsidR="00244B6F" w:rsidRPr="0072683D">
        <w:rPr>
          <w:rFonts w:ascii="Times New Roman" w:hAnsi="Times New Roman" w:cs="Times New Roman"/>
          <w:sz w:val="20"/>
          <w:szCs w:val="20"/>
        </w:rPr>
        <w:t xml:space="preserve">, i.e., </w:t>
      </w:r>
      <w:r w:rsidR="00A0349A" w:rsidRPr="0072683D">
        <w:rPr>
          <w:rFonts w:ascii="Times New Roman" w:hAnsi="Times New Roman" w:cs="Times New Roman"/>
          <w:sz w:val="20"/>
          <w:szCs w:val="20"/>
        </w:rPr>
        <w:t xml:space="preserve">as long as one of the </w:t>
      </w:r>
      <w:r w:rsidR="00244B6F" w:rsidRPr="0072683D">
        <w:rPr>
          <w:rFonts w:ascii="Times New Roman" w:hAnsi="Times New Roman" w:cs="Times New Roman"/>
          <w:sz w:val="20"/>
          <w:szCs w:val="20"/>
        </w:rPr>
        <w:t>SA</w:t>
      </w:r>
      <w:r w:rsidR="00A0349A" w:rsidRPr="0072683D">
        <w:rPr>
          <w:rFonts w:ascii="Times New Roman" w:hAnsi="Times New Roman" w:cs="Times New Roman"/>
          <w:sz w:val="20"/>
          <w:szCs w:val="20"/>
        </w:rPr>
        <w:t>’s</w:t>
      </w:r>
      <w:r w:rsidR="00244B6F" w:rsidRPr="0072683D">
        <w:rPr>
          <w:rFonts w:ascii="Times New Roman" w:hAnsi="Times New Roman" w:cs="Times New Roman"/>
          <w:sz w:val="20"/>
          <w:szCs w:val="20"/>
        </w:rPr>
        <w:t xml:space="preserve"> is </w:t>
      </w:r>
      <w:r w:rsidR="00A0349A" w:rsidRPr="0072683D">
        <w:rPr>
          <w:rFonts w:ascii="Times New Roman" w:hAnsi="Times New Roman" w:cs="Times New Roman"/>
          <w:sz w:val="20"/>
          <w:szCs w:val="20"/>
        </w:rPr>
        <w:t>correctly decoded</w:t>
      </w:r>
      <w:r w:rsidR="00244B6F" w:rsidRPr="0072683D">
        <w:rPr>
          <w:rFonts w:ascii="Times New Roman" w:hAnsi="Times New Roman" w:cs="Times New Roman"/>
          <w:sz w:val="20"/>
          <w:szCs w:val="20"/>
        </w:rPr>
        <w:t xml:space="preserve"> the </w:t>
      </w:r>
      <w:r w:rsidRPr="0072683D">
        <w:rPr>
          <w:rFonts w:ascii="Times New Roman" w:hAnsi="Times New Roman" w:cs="Times New Roman"/>
          <w:sz w:val="20"/>
          <w:szCs w:val="20"/>
        </w:rPr>
        <w:t>retransmission</w:t>
      </w:r>
      <w:r w:rsidR="00244B6F" w:rsidRPr="0072683D">
        <w:rPr>
          <w:rFonts w:ascii="Times New Roman" w:hAnsi="Times New Roman" w:cs="Times New Roman"/>
          <w:sz w:val="20"/>
          <w:szCs w:val="20"/>
        </w:rPr>
        <w:t xml:space="preserve"> can be </w:t>
      </w:r>
      <w:r w:rsidRPr="0072683D">
        <w:rPr>
          <w:rFonts w:ascii="Times New Roman" w:hAnsi="Times New Roman" w:cs="Times New Roman"/>
          <w:sz w:val="20"/>
          <w:szCs w:val="20"/>
        </w:rPr>
        <w:t>decoded</w:t>
      </w:r>
      <w:r w:rsidR="00244B6F" w:rsidRPr="0072683D">
        <w:rPr>
          <w:rFonts w:ascii="Times New Roman" w:hAnsi="Times New Roman" w:cs="Times New Roman"/>
          <w:sz w:val="20"/>
          <w:szCs w:val="20"/>
        </w:rPr>
        <w:t>.</w:t>
      </w:r>
    </w:p>
    <w:p w:rsidR="0072683D" w:rsidRPr="0072683D" w:rsidRDefault="00EB3B88" w:rsidP="0072683D">
      <w:pPr>
        <w:pStyle w:val="ListParagraph"/>
        <w:numPr>
          <w:ilvl w:val="0"/>
          <w:numId w:val="60"/>
        </w:numPr>
        <w:jc w:val="both"/>
        <w:rPr>
          <w:rFonts w:ascii="Times New Roman" w:hAnsi="Times New Roman" w:cs="Times New Roman"/>
          <w:sz w:val="20"/>
          <w:szCs w:val="20"/>
        </w:rPr>
      </w:pPr>
      <w:r>
        <w:rPr>
          <w:rFonts w:ascii="Times New Roman" w:hAnsi="Times New Roman" w:cs="Times New Roman"/>
          <w:sz w:val="20"/>
          <w:szCs w:val="20"/>
        </w:rPr>
        <w:t>Scheduling retransmissions in the future</w:t>
      </w:r>
      <w:r w:rsidR="00244B6F" w:rsidRPr="0072683D">
        <w:rPr>
          <w:rFonts w:ascii="Times New Roman" w:hAnsi="Times New Roman" w:cs="Times New Roman"/>
          <w:sz w:val="20"/>
          <w:szCs w:val="20"/>
        </w:rPr>
        <w:t xml:space="preserve"> </w:t>
      </w:r>
      <w:r>
        <w:rPr>
          <w:rFonts w:ascii="Times New Roman" w:hAnsi="Times New Roman" w:cs="Times New Roman"/>
          <w:sz w:val="20"/>
          <w:szCs w:val="20"/>
        </w:rPr>
        <w:t xml:space="preserve">is useful for detecting collisions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_Ref450922228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t>.</w:t>
      </w:r>
    </w:p>
    <w:p w:rsidR="008E4001" w:rsidRPr="0072683D" w:rsidRDefault="004246D5" w:rsidP="0072683D">
      <w:pPr>
        <w:pStyle w:val="ListParagraph"/>
        <w:numPr>
          <w:ilvl w:val="0"/>
          <w:numId w:val="60"/>
        </w:numPr>
        <w:spacing w:before="240"/>
        <w:jc w:val="both"/>
        <w:rPr>
          <w:rFonts w:ascii="Times New Roman" w:hAnsi="Times New Roman" w:cs="Times New Roman"/>
          <w:sz w:val="20"/>
          <w:szCs w:val="20"/>
        </w:rPr>
      </w:pPr>
      <w:r w:rsidRPr="0072683D">
        <w:rPr>
          <w:rFonts w:ascii="Times New Roman" w:hAnsi="Times New Roman" w:cs="Times New Roman"/>
          <w:sz w:val="20"/>
          <w:szCs w:val="20"/>
        </w:rPr>
        <w:lastRenderedPageBreak/>
        <w:t xml:space="preserve">Allowing </w:t>
      </w:r>
      <w:r w:rsidR="0072683D" w:rsidRPr="0072683D">
        <w:rPr>
          <w:rFonts w:ascii="Times New Roman" w:hAnsi="Times New Roman" w:cs="Times New Roman"/>
          <w:sz w:val="20"/>
          <w:szCs w:val="20"/>
        </w:rPr>
        <w:t xml:space="preserve">booking resources </w:t>
      </w:r>
      <w:r w:rsidRPr="0072683D">
        <w:rPr>
          <w:rFonts w:ascii="Times New Roman" w:hAnsi="Times New Roman" w:cs="Times New Roman"/>
          <w:sz w:val="20"/>
          <w:szCs w:val="20"/>
        </w:rPr>
        <w:t>improv</w:t>
      </w:r>
      <w:r w:rsidR="0072683D" w:rsidRPr="0072683D">
        <w:rPr>
          <w:rFonts w:ascii="Times New Roman" w:hAnsi="Times New Roman" w:cs="Times New Roman"/>
          <w:sz w:val="20"/>
          <w:szCs w:val="20"/>
        </w:rPr>
        <w:t>es</w:t>
      </w:r>
      <w:r w:rsidRPr="0072683D">
        <w:rPr>
          <w:rFonts w:ascii="Times New Roman" w:hAnsi="Times New Roman" w:cs="Times New Roman"/>
          <w:sz w:val="20"/>
          <w:szCs w:val="20"/>
        </w:rPr>
        <w:t xml:space="preserve"> the quality and stability of the resource all</w:t>
      </w:r>
      <w:r w:rsidR="0072683D" w:rsidRPr="0072683D">
        <w:rPr>
          <w:rFonts w:ascii="Times New Roman" w:hAnsi="Times New Roman" w:cs="Times New Roman"/>
          <w:sz w:val="20"/>
          <w:szCs w:val="20"/>
        </w:rPr>
        <w:t xml:space="preserve">ocation </w:t>
      </w:r>
      <w:r w:rsidR="00473A73">
        <w:rPr>
          <w:rFonts w:ascii="Times New Roman" w:hAnsi="Times New Roman" w:cs="Times New Roman"/>
          <w:sz w:val="20"/>
          <w:szCs w:val="20"/>
        </w:rPr>
        <w:t xml:space="preserve">protocol </w:t>
      </w:r>
      <w:r w:rsidR="0072683D" w:rsidRPr="0072683D">
        <w:rPr>
          <w:rFonts w:ascii="Times New Roman" w:hAnsi="Times New Roman" w:cs="Times New Roman"/>
          <w:sz w:val="20"/>
          <w:szCs w:val="20"/>
        </w:rPr>
        <w:t xml:space="preserve">since it helps UEs predict behaviors of each other and </w:t>
      </w:r>
      <w:r w:rsidR="00473A73">
        <w:rPr>
          <w:rFonts w:ascii="Times New Roman" w:hAnsi="Times New Roman" w:cs="Times New Roman"/>
          <w:sz w:val="20"/>
          <w:szCs w:val="20"/>
        </w:rPr>
        <w:t>reduce the need for</w:t>
      </w:r>
      <w:r w:rsidR="0072683D" w:rsidRPr="0072683D">
        <w:rPr>
          <w:rFonts w:ascii="Times New Roman" w:hAnsi="Times New Roman" w:cs="Times New Roman"/>
          <w:sz w:val="20"/>
          <w:szCs w:val="20"/>
        </w:rPr>
        <w:t xml:space="preserve"> resource reselection (see our companion paper</w:t>
      </w:r>
      <w:r w:rsidR="00914631">
        <w:rPr>
          <w:rFonts w:ascii="Times New Roman" w:hAnsi="Times New Roman" w:cs="Times New Roman"/>
          <w:sz w:val="20"/>
          <w:szCs w:val="20"/>
        </w:rPr>
        <w:t xml:space="preserve"> </w:t>
      </w:r>
      <w:r w:rsidR="00914631">
        <w:rPr>
          <w:rFonts w:ascii="Times New Roman" w:hAnsi="Times New Roman" w:cs="Times New Roman"/>
          <w:sz w:val="20"/>
          <w:szCs w:val="20"/>
        </w:rPr>
        <w:fldChar w:fldCharType="begin"/>
      </w:r>
      <w:r w:rsidR="00914631">
        <w:rPr>
          <w:rFonts w:ascii="Times New Roman" w:hAnsi="Times New Roman" w:cs="Times New Roman"/>
          <w:sz w:val="20"/>
          <w:szCs w:val="20"/>
        </w:rPr>
        <w:instrText xml:space="preserve"> REF _Ref450906282 \r \h </w:instrText>
      </w:r>
      <w:r w:rsidR="00914631">
        <w:rPr>
          <w:rFonts w:ascii="Times New Roman" w:hAnsi="Times New Roman" w:cs="Times New Roman"/>
          <w:sz w:val="20"/>
          <w:szCs w:val="20"/>
        </w:rPr>
      </w:r>
      <w:r w:rsidR="00914631">
        <w:rPr>
          <w:rFonts w:ascii="Times New Roman" w:hAnsi="Times New Roman" w:cs="Times New Roman"/>
          <w:sz w:val="20"/>
          <w:szCs w:val="20"/>
        </w:rPr>
        <w:fldChar w:fldCharType="separate"/>
      </w:r>
      <w:r w:rsidR="00914631">
        <w:rPr>
          <w:rFonts w:ascii="Times New Roman" w:hAnsi="Times New Roman" w:cs="Times New Roman"/>
          <w:sz w:val="20"/>
          <w:szCs w:val="20"/>
        </w:rPr>
        <w:t>[3]</w:t>
      </w:r>
      <w:r w:rsidR="00914631">
        <w:rPr>
          <w:rFonts w:ascii="Times New Roman" w:hAnsi="Times New Roman" w:cs="Times New Roman"/>
          <w:sz w:val="20"/>
          <w:szCs w:val="20"/>
        </w:rPr>
        <w:fldChar w:fldCharType="end"/>
      </w:r>
      <w:r w:rsidR="0072683D" w:rsidRPr="0072683D">
        <w:rPr>
          <w:rFonts w:ascii="Times New Roman" w:hAnsi="Times New Roman" w:cs="Times New Roman"/>
          <w:sz w:val="20"/>
          <w:szCs w:val="20"/>
        </w:rPr>
        <w:t xml:space="preserve">). Furthermore, having one SA for each data </w:t>
      </w:r>
      <w:r w:rsidRPr="0072683D">
        <w:rPr>
          <w:rFonts w:ascii="Times New Roman" w:hAnsi="Times New Roman" w:cs="Times New Roman"/>
          <w:sz w:val="20"/>
          <w:szCs w:val="20"/>
        </w:rPr>
        <w:t xml:space="preserve">allows </w:t>
      </w:r>
      <w:r w:rsidR="00A0349A" w:rsidRPr="0072683D">
        <w:rPr>
          <w:rFonts w:ascii="Times New Roman" w:hAnsi="Times New Roman" w:cs="Times New Roman"/>
          <w:sz w:val="20"/>
          <w:szCs w:val="20"/>
        </w:rPr>
        <w:t xml:space="preserve">the UE to notify other UEs about its intent </w:t>
      </w:r>
      <w:r w:rsidR="00473A73">
        <w:rPr>
          <w:rFonts w:ascii="Times New Roman" w:hAnsi="Times New Roman" w:cs="Times New Roman"/>
          <w:sz w:val="20"/>
          <w:szCs w:val="20"/>
        </w:rPr>
        <w:t>to</w:t>
      </w:r>
      <w:r w:rsidR="00A0349A" w:rsidRPr="0072683D">
        <w:rPr>
          <w:rFonts w:ascii="Times New Roman" w:hAnsi="Times New Roman" w:cs="Times New Roman"/>
          <w:sz w:val="20"/>
          <w:szCs w:val="20"/>
        </w:rPr>
        <w:t xml:space="preserve"> </w:t>
      </w:r>
      <w:r w:rsidR="00473A73">
        <w:rPr>
          <w:rFonts w:ascii="Times New Roman" w:hAnsi="Times New Roman" w:cs="Times New Roman"/>
          <w:sz w:val="20"/>
          <w:szCs w:val="20"/>
        </w:rPr>
        <w:t xml:space="preserve">use </w:t>
      </w:r>
      <w:r w:rsidR="00A0349A" w:rsidRPr="0072683D">
        <w:rPr>
          <w:rFonts w:ascii="Times New Roman" w:hAnsi="Times New Roman" w:cs="Times New Roman"/>
          <w:sz w:val="20"/>
          <w:szCs w:val="20"/>
        </w:rPr>
        <w:t xml:space="preserve">the booked resources. </w:t>
      </w:r>
    </w:p>
    <w:p w:rsidR="00AC590A" w:rsidRDefault="00DE1BD4" w:rsidP="0072683D">
      <w:pPr>
        <w:spacing w:before="240"/>
        <w:jc w:val="both"/>
      </w:pPr>
      <w:r>
        <w:t xml:space="preserve">We believe that SA should only book resources for the transmission of the next TB. The reason is that the arrival of future packets is subject to variations outside the control of 3GPP, as we discuss in </w:t>
      </w:r>
      <w:r w:rsidR="00993269">
        <w:fldChar w:fldCharType="begin"/>
      </w:r>
      <w:r w:rsidR="00993269">
        <w:instrText xml:space="preserve"> REF _Ref450922757 \r \h </w:instrText>
      </w:r>
      <w:r w:rsidR="00993269">
        <w:fldChar w:fldCharType="separate"/>
      </w:r>
      <w:r w:rsidR="00993269">
        <w:t>[6]</w:t>
      </w:r>
      <w:r w:rsidR="00993269">
        <w:fldChar w:fldCharType="end"/>
      </w:r>
      <w:r w:rsidR="00993269">
        <w:t xml:space="preserve">. In addition, </w:t>
      </w:r>
      <w:r w:rsidR="00AC590A">
        <w:t xml:space="preserve">the content of SA </w:t>
      </w:r>
      <w:r w:rsidR="00993269">
        <w:t xml:space="preserve">may grow too large and </w:t>
      </w:r>
      <w:r w:rsidR="00AC590A">
        <w:t>not fit into limited resources for SA.</w:t>
      </w:r>
      <w:r w:rsidR="00207E25">
        <w:t xml:space="preserve"> </w:t>
      </w:r>
    </w:p>
    <w:p w:rsidR="00AC590A" w:rsidRPr="00AC590A" w:rsidRDefault="00AC590A" w:rsidP="008E4001">
      <w:r w:rsidRPr="00AC590A">
        <w:t>Hence we propose the following:</w:t>
      </w:r>
    </w:p>
    <w:p w:rsidR="00244B6F" w:rsidRPr="00244B6F" w:rsidRDefault="00244B6F" w:rsidP="008E4001">
      <w:pPr>
        <w:rPr>
          <w:b/>
          <w:i/>
        </w:rPr>
      </w:pPr>
      <w:r w:rsidRPr="00244B6F">
        <w:rPr>
          <w:b/>
          <w:i/>
        </w:rPr>
        <w:t>Proposal</w:t>
      </w:r>
      <w:r w:rsidR="00C47A2C">
        <w:rPr>
          <w:b/>
          <w:i/>
        </w:rPr>
        <w:t>s</w:t>
      </w:r>
      <w:r w:rsidRPr="00244B6F">
        <w:rPr>
          <w:b/>
          <w:i/>
        </w:rPr>
        <w:t>:</w:t>
      </w:r>
    </w:p>
    <w:p w:rsidR="00E92034" w:rsidRPr="00E92034" w:rsidRDefault="00E92034" w:rsidP="000B14AD">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For each (re)transmission of a TB there is a new transmission of an SA.</w:t>
      </w:r>
    </w:p>
    <w:p w:rsidR="0094041C" w:rsidRPr="00B73EB4" w:rsidRDefault="0094041C" w:rsidP="000B14AD">
      <w:pPr>
        <w:pStyle w:val="ListParagraph"/>
        <w:numPr>
          <w:ilvl w:val="0"/>
          <w:numId w:val="61"/>
        </w:numPr>
        <w:rPr>
          <w:rFonts w:ascii="Times New Roman" w:hAnsi="Times New Roman" w:cs="Times New Roman"/>
          <w:sz w:val="20"/>
          <w:szCs w:val="20"/>
        </w:rPr>
      </w:pPr>
      <w:r w:rsidRPr="00244B6F">
        <w:rPr>
          <w:rFonts w:ascii="Times New Roman" w:hAnsi="Times New Roman" w:cs="Times New Roman"/>
          <w:b/>
          <w:i/>
          <w:sz w:val="20"/>
          <w:szCs w:val="20"/>
        </w:rPr>
        <w:t>An SA can schedul</w:t>
      </w:r>
      <w:r w:rsidR="00473A73">
        <w:rPr>
          <w:rFonts w:ascii="Times New Roman" w:hAnsi="Times New Roman" w:cs="Times New Roman"/>
          <w:b/>
          <w:i/>
          <w:sz w:val="20"/>
          <w:szCs w:val="20"/>
        </w:rPr>
        <w:t>e</w:t>
      </w:r>
      <w:r>
        <w:rPr>
          <w:rFonts w:ascii="Times New Roman" w:hAnsi="Times New Roman" w:cs="Times New Roman"/>
          <w:b/>
          <w:i/>
          <w:sz w:val="20"/>
          <w:szCs w:val="20"/>
        </w:rPr>
        <w:t xml:space="preserve"> </w:t>
      </w:r>
      <w:r w:rsidR="00AF0B08">
        <w:rPr>
          <w:rFonts w:ascii="Times New Roman" w:hAnsi="Times New Roman" w:cs="Times New Roman"/>
          <w:b/>
          <w:i/>
          <w:sz w:val="20"/>
          <w:szCs w:val="20"/>
        </w:rPr>
        <w:t xml:space="preserve">a transmission and </w:t>
      </w:r>
      <w:r w:rsidR="0035166D" w:rsidRPr="0035166D">
        <w:rPr>
          <w:rFonts w:ascii="Times New Roman" w:hAnsi="Times New Roman" w:cs="Times New Roman"/>
          <w:b/>
          <w:i/>
          <w:sz w:val="20"/>
          <w:szCs w:val="20"/>
        </w:rPr>
        <w:t>up to N (value FFS) (re)transmissions</w:t>
      </w:r>
      <w:r w:rsidR="00AF0B08">
        <w:rPr>
          <w:rFonts w:ascii="Times New Roman" w:hAnsi="Times New Roman" w:cs="Times New Roman"/>
          <w:b/>
          <w:i/>
          <w:sz w:val="20"/>
          <w:szCs w:val="20"/>
        </w:rPr>
        <w:t xml:space="preserve"> of a TB, and book</w:t>
      </w:r>
      <w:r>
        <w:rPr>
          <w:rFonts w:ascii="Times New Roman" w:hAnsi="Times New Roman" w:cs="Times New Roman"/>
          <w:b/>
          <w:i/>
          <w:sz w:val="20"/>
          <w:szCs w:val="20"/>
        </w:rPr>
        <w:t xml:space="preserve"> resources for one future TB.</w:t>
      </w:r>
    </w:p>
    <w:p w:rsidR="00D0339F" w:rsidRPr="00744368" w:rsidRDefault="00904AA3" w:rsidP="00D0339F">
      <w:pPr>
        <w:pStyle w:val="Heading1"/>
      </w:pPr>
      <w:r>
        <w:t>Conclusion</w:t>
      </w:r>
      <w:r w:rsidR="00A11B11" w:rsidRPr="00744368">
        <w:t xml:space="preserve"> </w:t>
      </w:r>
    </w:p>
    <w:p w:rsidR="003F68D5" w:rsidRDefault="00A90703" w:rsidP="00A90703">
      <w:pPr>
        <w:pStyle w:val="BodyText"/>
        <w:spacing w:after="240"/>
        <w:jc w:val="both"/>
        <w:rPr>
          <w:spacing w:val="2"/>
          <w:sz w:val="20"/>
          <w:szCs w:val="20"/>
        </w:rPr>
      </w:pPr>
      <w:r w:rsidRPr="00904AA3">
        <w:rPr>
          <w:spacing w:val="2"/>
          <w:sz w:val="20"/>
          <w:szCs w:val="20"/>
        </w:rPr>
        <w:t>In this contribution we discuss</w:t>
      </w:r>
      <w:r w:rsidR="00964B52" w:rsidRPr="00904AA3">
        <w:rPr>
          <w:spacing w:val="2"/>
          <w:sz w:val="20"/>
          <w:szCs w:val="20"/>
        </w:rPr>
        <w:t>ed</w:t>
      </w:r>
      <w:r w:rsidR="00904AA3" w:rsidRPr="00904AA3">
        <w:rPr>
          <w:spacing w:val="2"/>
          <w:sz w:val="20"/>
          <w:szCs w:val="20"/>
        </w:rPr>
        <w:t xml:space="preserve"> open issues regarding the relationship between SA and data for V2V over PC5</w:t>
      </w:r>
      <w:r w:rsidR="000C1A3B" w:rsidRPr="00904AA3">
        <w:rPr>
          <w:spacing w:val="2"/>
          <w:sz w:val="20"/>
          <w:szCs w:val="20"/>
        </w:rPr>
        <w:t xml:space="preserve">. </w:t>
      </w:r>
    </w:p>
    <w:p w:rsidR="00E92034" w:rsidRPr="00244B6F" w:rsidRDefault="00E92034" w:rsidP="00E92034">
      <w:pPr>
        <w:rPr>
          <w:b/>
          <w:i/>
        </w:rPr>
      </w:pPr>
      <w:r w:rsidRPr="00244B6F">
        <w:rPr>
          <w:b/>
          <w:i/>
        </w:rPr>
        <w:t>Proposal</w:t>
      </w:r>
      <w:r>
        <w:rPr>
          <w:b/>
          <w:i/>
        </w:rPr>
        <w:t>s</w:t>
      </w:r>
      <w:r w:rsidRPr="00244B6F">
        <w:rPr>
          <w:b/>
          <w:i/>
        </w:rPr>
        <w:t>:</w:t>
      </w:r>
    </w:p>
    <w:p w:rsidR="00E92034" w:rsidRPr="00E92034" w:rsidRDefault="00E92034" w:rsidP="00E92034">
      <w:pPr>
        <w:pStyle w:val="ListParagraph"/>
        <w:numPr>
          <w:ilvl w:val="0"/>
          <w:numId w:val="61"/>
        </w:numPr>
        <w:rPr>
          <w:rFonts w:ascii="Times New Roman" w:hAnsi="Times New Roman" w:cs="Times New Roman"/>
          <w:b/>
          <w:i/>
          <w:sz w:val="20"/>
          <w:szCs w:val="20"/>
        </w:rPr>
      </w:pPr>
      <w:r>
        <w:rPr>
          <w:rFonts w:ascii="Times New Roman" w:hAnsi="Times New Roman" w:cs="Times New Roman"/>
          <w:b/>
          <w:i/>
          <w:sz w:val="20"/>
          <w:szCs w:val="20"/>
        </w:rPr>
        <w:t>For each (re)transmission of a TB there is a new transmission of an SA.</w:t>
      </w:r>
    </w:p>
    <w:p w:rsidR="00E92034" w:rsidRPr="00B73EB4" w:rsidRDefault="00E92034" w:rsidP="00E92034">
      <w:pPr>
        <w:pStyle w:val="ListParagraph"/>
        <w:numPr>
          <w:ilvl w:val="0"/>
          <w:numId w:val="61"/>
        </w:numPr>
        <w:rPr>
          <w:rFonts w:ascii="Times New Roman" w:hAnsi="Times New Roman" w:cs="Times New Roman"/>
          <w:sz w:val="20"/>
          <w:szCs w:val="20"/>
        </w:rPr>
      </w:pPr>
      <w:r w:rsidRPr="00244B6F">
        <w:rPr>
          <w:rFonts w:ascii="Times New Roman" w:hAnsi="Times New Roman" w:cs="Times New Roman"/>
          <w:b/>
          <w:i/>
          <w:sz w:val="20"/>
          <w:szCs w:val="20"/>
        </w:rPr>
        <w:t>An SA can schedul</w:t>
      </w:r>
      <w:r>
        <w:rPr>
          <w:rFonts w:ascii="Times New Roman" w:hAnsi="Times New Roman" w:cs="Times New Roman"/>
          <w:b/>
          <w:i/>
          <w:sz w:val="20"/>
          <w:szCs w:val="20"/>
        </w:rPr>
        <w:t xml:space="preserve">e a transmission and </w:t>
      </w:r>
      <w:r w:rsidRPr="0035166D">
        <w:rPr>
          <w:rFonts w:ascii="Times New Roman" w:hAnsi="Times New Roman" w:cs="Times New Roman"/>
          <w:b/>
          <w:i/>
          <w:sz w:val="20"/>
          <w:szCs w:val="20"/>
        </w:rPr>
        <w:t>up to N (value FFS) (re)transmissions</w:t>
      </w:r>
      <w:r>
        <w:rPr>
          <w:rFonts w:ascii="Times New Roman" w:hAnsi="Times New Roman" w:cs="Times New Roman"/>
          <w:b/>
          <w:i/>
          <w:sz w:val="20"/>
          <w:szCs w:val="20"/>
        </w:rPr>
        <w:t xml:space="preserve"> of a TB, and book resources for one future TB.</w:t>
      </w:r>
    </w:p>
    <w:p w:rsidR="009A1074" w:rsidRPr="00DA1475" w:rsidRDefault="00C02A80" w:rsidP="00856691">
      <w:pPr>
        <w:pStyle w:val="Heading1"/>
      </w:pPr>
      <w:bookmarkStart w:id="4" w:name="_GoBack"/>
      <w:bookmarkEnd w:id="4"/>
      <w:r w:rsidRPr="00DA1475">
        <w:t>Reference</w:t>
      </w:r>
    </w:p>
    <w:p w:rsidR="00820DC2" w:rsidRPr="000B14AD" w:rsidRDefault="000B14AD" w:rsidP="000B14AD">
      <w:pPr>
        <w:pStyle w:val="ListParagraph"/>
        <w:numPr>
          <w:ilvl w:val="0"/>
          <w:numId w:val="55"/>
        </w:numPr>
        <w:ind w:left="709" w:hanging="567"/>
        <w:rPr>
          <w:rFonts w:ascii="Times New Roman" w:hAnsi="Times New Roman" w:cs="Times New Roman"/>
          <w:color w:val="312E25"/>
          <w:sz w:val="20"/>
          <w:szCs w:val="20"/>
          <w:lang w:eastAsia="sv-SE"/>
        </w:rPr>
      </w:pPr>
      <w:bookmarkStart w:id="5" w:name="_Ref450906128"/>
      <w:bookmarkStart w:id="6" w:name="_Ref447198192"/>
      <w:r w:rsidRPr="000B14AD">
        <w:rPr>
          <w:rFonts w:ascii="Times New Roman" w:hAnsi="Times New Roman" w:cs="Times New Roman"/>
          <w:color w:val="312E25"/>
          <w:sz w:val="20"/>
          <w:szCs w:val="20"/>
          <w:lang w:eastAsia="sv-SE"/>
        </w:rPr>
        <w:t>R1-165276,</w:t>
      </w:r>
      <w:r w:rsidRPr="000B14AD">
        <w:rPr>
          <w:rFonts w:ascii="Times New Roman" w:hAnsi="Times New Roman" w:cs="Times New Roman"/>
          <w:color w:val="312E25"/>
          <w:sz w:val="20"/>
          <w:szCs w:val="20"/>
          <w:lang w:eastAsia="sv-SE"/>
        </w:rPr>
        <w:tab/>
        <w:t>Discussion on V2X PC5 Scheduling, Resource Pools and Resource Patterns,</w:t>
      </w:r>
      <w:r w:rsidRPr="000B14AD">
        <w:rPr>
          <w:rFonts w:ascii="Times New Roman" w:hAnsi="Times New Roman" w:cs="Times New Roman"/>
          <w:color w:val="312E25"/>
          <w:sz w:val="20"/>
          <w:szCs w:val="20"/>
          <w:lang w:eastAsia="sv-SE"/>
        </w:rPr>
        <w:tab/>
        <w:t>Ericsson</w:t>
      </w:r>
      <w:bookmarkEnd w:id="5"/>
    </w:p>
    <w:bookmarkEnd w:id="6"/>
    <w:p w:rsidR="00617E76" w:rsidRPr="000B14AD" w:rsidRDefault="000B14AD" w:rsidP="000B14AD">
      <w:pPr>
        <w:pStyle w:val="ListParagraph"/>
        <w:numPr>
          <w:ilvl w:val="0"/>
          <w:numId w:val="55"/>
        </w:numPr>
        <w:ind w:left="709" w:hanging="567"/>
        <w:rPr>
          <w:rFonts w:ascii="Times New Roman" w:hAnsi="Times New Roman" w:cs="Times New Roman"/>
          <w:color w:val="312E25"/>
          <w:sz w:val="20"/>
          <w:szCs w:val="20"/>
          <w:lang w:eastAsia="sv-SE"/>
        </w:rPr>
      </w:pPr>
      <w:r w:rsidRPr="000B14AD">
        <w:rPr>
          <w:rFonts w:ascii="Times New Roman" w:hAnsi="Times New Roman" w:cs="Times New Roman"/>
          <w:color w:val="312E25"/>
          <w:sz w:val="20"/>
          <w:szCs w:val="20"/>
          <w:lang w:eastAsia="sv-SE"/>
        </w:rPr>
        <w:t>R1-165264,</w:t>
      </w:r>
      <w:r w:rsidRPr="000B14AD">
        <w:rPr>
          <w:rFonts w:ascii="Times New Roman" w:hAnsi="Times New Roman" w:cs="Times New Roman"/>
          <w:color w:val="312E25"/>
          <w:sz w:val="20"/>
          <w:szCs w:val="20"/>
          <w:lang w:eastAsia="sv-SE"/>
        </w:rPr>
        <w:tab/>
        <w:t>Contents of PSCCH for V2V over PC5, Ericsson</w:t>
      </w:r>
    </w:p>
    <w:p w:rsidR="00617E76" w:rsidRPr="000B14AD" w:rsidRDefault="00914631" w:rsidP="000B14AD">
      <w:pPr>
        <w:pStyle w:val="ListParagraph"/>
        <w:numPr>
          <w:ilvl w:val="0"/>
          <w:numId w:val="55"/>
        </w:numPr>
        <w:ind w:left="709" w:hanging="567"/>
        <w:rPr>
          <w:rFonts w:ascii="Times New Roman" w:hAnsi="Times New Roman" w:cs="Times New Roman"/>
          <w:color w:val="312E25"/>
          <w:sz w:val="20"/>
          <w:szCs w:val="20"/>
          <w:lang w:eastAsia="sv-SE"/>
        </w:rPr>
      </w:pPr>
      <w:bookmarkStart w:id="7" w:name="_Ref450906282"/>
      <w:r w:rsidRPr="00914631">
        <w:rPr>
          <w:rFonts w:ascii="Times New Roman" w:hAnsi="Times New Roman" w:cs="Times New Roman"/>
          <w:color w:val="312E25"/>
          <w:sz w:val="20"/>
          <w:szCs w:val="20"/>
          <w:lang w:eastAsia="sv-SE"/>
        </w:rPr>
        <w:t>R1-165266,</w:t>
      </w:r>
      <w:r w:rsidRPr="00914631">
        <w:rPr>
          <w:rFonts w:ascii="Times New Roman" w:hAnsi="Times New Roman" w:cs="Times New Roman"/>
          <w:color w:val="312E25"/>
          <w:sz w:val="20"/>
          <w:szCs w:val="20"/>
          <w:lang w:eastAsia="sv-SE"/>
        </w:rPr>
        <w:tab/>
        <w:t>Sensing and autonomous resource selection, Ericsson</w:t>
      </w:r>
      <w:bookmarkEnd w:id="7"/>
    </w:p>
    <w:p w:rsidR="00EB3B88" w:rsidRDefault="000B14AD" w:rsidP="000B14AD">
      <w:pPr>
        <w:pStyle w:val="ListParagraph"/>
        <w:numPr>
          <w:ilvl w:val="0"/>
          <w:numId w:val="55"/>
        </w:numPr>
        <w:ind w:left="709" w:hanging="567"/>
        <w:rPr>
          <w:rFonts w:ascii="Times New Roman" w:hAnsi="Times New Roman" w:cs="Times New Roman"/>
          <w:color w:val="312E25"/>
          <w:sz w:val="20"/>
          <w:szCs w:val="20"/>
          <w:lang w:eastAsia="sv-SE"/>
        </w:rPr>
      </w:pPr>
      <w:bookmarkStart w:id="8" w:name="_Ref450233594"/>
      <w:r w:rsidRPr="000B14AD">
        <w:rPr>
          <w:rFonts w:ascii="Times New Roman" w:hAnsi="Times New Roman" w:cs="Times New Roman"/>
          <w:color w:val="312E25"/>
          <w:sz w:val="20"/>
          <w:szCs w:val="20"/>
          <w:lang w:eastAsia="sv-SE"/>
        </w:rPr>
        <w:t>R1-165272,</w:t>
      </w:r>
      <w:r w:rsidRPr="000B14AD">
        <w:rPr>
          <w:rFonts w:ascii="Times New Roman" w:hAnsi="Times New Roman" w:cs="Times New Roman"/>
          <w:color w:val="312E25"/>
          <w:sz w:val="20"/>
          <w:szCs w:val="20"/>
          <w:lang w:eastAsia="sv-SE"/>
        </w:rPr>
        <w:tab/>
        <w:t>Mode-1 SPS for V2V over PC5</w:t>
      </w:r>
      <w:r w:rsidR="00AF0B08" w:rsidRPr="000B14AD">
        <w:rPr>
          <w:rFonts w:ascii="Times New Roman" w:hAnsi="Times New Roman" w:cs="Times New Roman"/>
          <w:color w:val="312E25"/>
          <w:sz w:val="20"/>
          <w:szCs w:val="20"/>
          <w:lang w:eastAsia="sv-SE"/>
        </w:rPr>
        <w:t>, Ericsson</w:t>
      </w:r>
      <w:bookmarkEnd w:id="8"/>
    </w:p>
    <w:p w:rsidR="00DE1BD4" w:rsidRDefault="00EB3B88" w:rsidP="00EB3B88">
      <w:pPr>
        <w:pStyle w:val="ListParagraph"/>
        <w:numPr>
          <w:ilvl w:val="0"/>
          <w:numId w:val="55"/>
        </w:numPr>
        <w:ind w:left="709" w:hanging="567"/>
        <w:rPr>
          <w:rFonts w:ascii="Times New Roman" w:hAnsi="Times New Roman" w:cs="Times New Roman"/>
          <w:color w:val="312E25"/>
          <w:sz w:val="20"/>
          <w:szCs w:val="20"/>
          <w:lang w:eastAsia="sv-SE"/>
        </w:rPr>
      </w:pPr>
      <w:bookmarkStart w:id="9" w:name="_Ref450922228"/>
      <w:r w:rsidRPr="00EB3B88">
        <w:rPr>
          <w:rFonts w:ascii="Times New Roman" w:hAnsi="Times New Roman" w:cs="Times New Roman"/>
          <w:color w:val="312E25"/>
          <w:sz w:val="20"/>
          <w:szCs w:val="20"/>
          <w:lang w:eastAsia="sv-SE"/>
        </w:rPr>
        <w:t>R1-165263</w:t>
      </w:r>
      <w:r>
        <w:rPr>
          <w:rFonts w:ascii="Times New Roman" w:hAnsi="Times New Roman" w:cs="Times New Roman"/>
          <w:color w:val="312E25"/>
          <w:sz w:val="20"/>
          <w:szCs w:val="20"/>
          <w:lang w:eastAsia="sv-SE"/>
        </w:rPr>
        <w:t xml:space="preserve">, </w:t>
      </w:r>
      <w:r w:rsidRPr="00EB3B88">
        <w:rPr>
          <w:rFonts w:ascii="Times New Roman" w:hAnsi="Times New Roman" w:cs="Times New Roman"/>
          <w:color w:val="312E25"/>
          <w:sz w:val="20"/>
          <w:szCs w:val="20"/>
          <w:lang w:eastAsia="sv-SE"/>
        </w:rPr>
        <w:t>Resource reselection</w:t>
      </w:r>
      <w:r>
        <w:rPr>
          <w:rFonts w:ascii="Times New Roman" w:hAnsi="Times New Roman" w:cs="Times New Roman"/>
          <w:color w:val="312E25"/>
          <w:sz w:val="20"/>
          <w:szCs w:val="20"/>
          <w:lang w:eastAsia="sv-SE"/>
        </w:rPr>
        <w:t>, Ericsson</w:t>
      </w:r>
      <w:bookmarkEnd w:id="9"/>
    </w:p>
    <w:p w:rsidR="00B63B22" w:rsidRPr="000B14AD" w:rsidRDefault="00DE1BD4" w:rsidP="00DE1BD4">
      <w:pPr>
        <w:pStyle w:val="ListParagraph"/>
        <w:numPr>
          <w:ilvl w:val="0"/>
          <w:numId w:val="55"/>
        </w:numPr>
        <w:ind w:left="709" w:hanging="567"/>
        <w:rPr>
          <w:rFonts w:ascii="Times New Roman" w:hAnsi="Times New Roman" w:cs="Times New Roman"/>
          <w:color w:val="312E25"/>
          <w:sz w:val="20"/>
          <w:szCs w:val="20"/>
          <w:lang w:eastAsia="sv-SE"/>
        </w:rPr>
      </w:pPr>
      <w:bookmarkStart w:id="10" w:name="_Ref450922757"/>
      <w:r w:rsidRPr="00DE1BD4">
        <w:rPr>
          <w:rFonts w:ascii="Times New Roman" w:hAnsi="Times New Roman" w:cs="Times New Roman"/>
          <w:color w:val="312E25"/>
          <w:sz w:val="20"/>
          <w:szCs w:val="20"/>
          <w:lang w:eastAsia="sv-SE"/>
        </w:rPr>
        <w:t>R1-165245</w:t>
      </w:r>
      <w:r>
        <w:rPr>
          <w:rFonts w:ascii="Times New Roman" w:hAnsi="Times New Roman" w:cs="Times New Roman"/>
          <w:color w:val="312E25"/>
          <w:sz w:val="20"/>
          <w:szCs w:val="20"/>
          <w:lang w:eastAsia="sv-SE"/>
        </w:rPr>
        <w:t>,</w:t>
      </w:r>
      <w:r w:rsidRPr="00DE1BD4">
        <w:rPr>
          <w:rFonts w:ascii="Times New Roman" w:hAnsi="Times New Roman" w:cs="Times New Roman"/>
          <w:color w:val="312E25"/>
          <w:sz w:val="20"/>
          <w:szCs w:val="20"/>
          <w:lang w:eastAsia="sv-SE"/>
        </w:rPr>
        <w:t xml:space="preserve"> Observations on CAM Message Periodicity and Payload</w:t>
      </w:r>
      <w:r>
        <w:rPr>
          <w:rFonts w:ascii="Times New Roman" w:hAnsi="Times New Roman" w:cs="Times New Roman"/>
          <w:color w:val="312E25"/>
          <w:sz w:val="20"/>
          <w:szCs w:val="20"/>
          <w:lang w:eastAsia="sv-SE"/>
        </w:rPr>
        <w:t>, Ericsson</w:t>
      </w:r>
      <w:bookmarkEnd w:id="10"/>
      <w:r w:rsidR="00191557" w:rsidRPr="000B14AD">
        <w:rPr>
          <w:rFonts w:ascii="Times New Roman" w:hAnsi="Times New Roman" w:cs="Times New Roman"/>
          <w:color w:val="312E25"/>
          <w:sz w:val="20"/>
          <w:szCs w:val="20"/>
          <w:lang w:eastAsia="sv-SE"/>
        </w:rPr>
        <w:br/>
      </w:r>
    </w:p>
    <w:p w:rsidR="004206EB" w:rsidRPr="004D5559" w:rsidRDefault="004206EB" w:rsidP="00B707F1">
      <w:pPr>
        <w:rPr>
          <w:lang w:val="en-US"/>
        </w:rPr>
      </w:pPr>
    </w:p>
    <w:sectPr w:rsidR="004206EB" w:rsidRPr="004D5559"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A32" w:rsidRDefault="003D4A32">
      <w:r>
        <w:separator/>
      </w:r>
    </w:p>
  </w:endnote>
  <w:endnote w:type="continuationSeparator" w:id="0">
    <w:p w:rsidR="003D4A32" w:rsidRDefault="003D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A32" w:rsidRDefault="003D4A32">
      <w:r>
        <w:separator/>
      </w:r>
    </w:p>
  </w:footnote>
  <w:footnote w:type="continuationSeparator" w:id="0">
    <w:p w:rsidR="003D4A32" w:rsidRDefault="003D4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A03D3B"/>
    <w:multiLevelType w:val="hybridMultilevel"/>
    <w:tmpl w:val="98C0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0F50B4"/>
    <w:multiLevelType w:val="hybridMultilevel"/>
    <w:tmpl w:val="93E8A1BA"/>
    <w:lvl w:ilvl="0" w:tplc="B62C663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6">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58459D"/>
    <w:multiLevelType w:val="hybridMultilevel"/>
    <w:tmpl w:val="CC768224"/>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7A1947"/>
    <w:multiLevelType w:val="hybridMultilevel"/>
    <w:tmpl w:val="B6EE4992"/>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52667D2"/>
    <w:multiLevelType w:val="hybridMultilevel"/>
    <w:tmpl w:val="78EEC172"/>
    <w:lvl w:ilvl="0" w:tplc="AB28CACC">
      <w:start w:val="1"/>
      <w:numFmt w:val="bullet"/>
      <w:lvlText w:val="–"/>
      <w:lvlJc w:val="left"/>
      <w:pPr>
        <w:tabs>
          <w:tab w:val="num" w:pos="720"/>
        </w:tabs>
        <w:ind w:left="720" w:hanging="360"/>
      </w:pPr>
      <w:rPr>
        <w:rFonts w:ascii="Ericsson Capital TT" w:hAnsi="Ericsson Capital TT" w:hint="default"/>
      </w:rPr>
    </w:lvl>
    <w:lvl w:ilvl="1" w:tplc="7C124DFE">
      <w:start w:val="1"/>
      <w:numFmt w:val="bullet"/>
      <w:lvlText w:val="–"/>
      <w:lvlJc w:val="left"/>
      <w:pPr>
        <w:tabs>
          <w:tab w:val="num" w:pos="1440"/>
        </w:tabs>
        <w:ind w:left="1440" w:hanging="360"/>
      </w:pPr>
      <w:rPr>
        <w:rFonts w:ascii="Ericsson Capital TT" w:hAnsi="Ericsson Capital TT" w:hint="default"/>
      </w:rPr>
    </w:lvl>
    <w:lvl w:ilvl="2" w:tplc="9F2E2A78">
      <w:start w:val="1860"/>
      <w:numFmt w:val="bullet"/>
      <w:lvlText w:val="›"/>
      <w:lvlJc w:val="left"/>
      <w:pPr>
        <w:tabs>
          <w:tab w:val="num" w:pos="2160"/>
        </w:tabs>
        <w:ind w:left="2160" w:hanging="360"/>
      </w:pPr>
      <w:rPr>
        <w:rFonts w:ascii="Ericsson Capital TT" w:hAnsi="Ericsson Capital TT" w:hint="default"/>
      </w:rPr>
    </w:lvl>
    <w:lvl w:ilvl="3" w:tplc="91109490">
      <w:start w:val="1"/>
      <w:numFmt w:val="bullet"/>
      <w:lvlText w:val="–"/>
      <w:lvlJc w:val="left"/>
      <w:pPr>
        <w:tabs>
          <w:tab w:val="num" w:pos="2880"/>
        </w:tabs>
        <w:ind w:left="2880" w:hanging="360"/>
      </w:pPr>
      <w:rPr>
        <w:rFonts w:ascii="Ericsson Capital TT" w:hAnsi="Ericsson Capital TT" w:hint="default"/>
      </w:rPr>
    </w:lvl>
    <w:lvl w:ilvl="4" w:tplc="DCA2CBF4" w:tentative="1">
      <w:start w:val="1"/>
      <w:numFmt w:val="bullet"/>
      <w:lvlText w:val="–"/>
      <w:lvlJc w:val="left"/>
      <w:pPr>
        <w:tabs>
          <w:tab w:val="num" w:pos="3600"/>
        </w:tabs>
        <w:ind w:left="3600" w:hanging="360"/>
      </w:pPr>
      <w:rPr>
        <w:rFonts w:ascii="Ericsson Capital TT" w:hAnsi="Ericsson Capital TT" w:hint="default"/>
      </w:rPr>
    </w:lvl>
    <w:lvl w:ilvl="5" w:tplc="00283838" w:tentative="1">
      <w:start w:val="1"/>
      <w:numFmt w:val="bullet"/>
      <w:lvlText w:val="–"/>
      <w:lvlJc w:val="left"/>
      <w:pPr>
        <w:tabs>
          <w:tab w:val="num" w:pos="4320"/>
        </w:tabs>
        <w:ind w:left="4320" w:hanging="360"/>
      </w:pPr>
      <w:rPr>
        <w:rFonts w:ascii="Ericsson Capital TT" w:hAnsi="Ericsson Capital TT" w:hint="default"/>
      </w:rPr>
    </w:lvl>
    <w:lvl w:ilvl="6" w:tplc="1204969A" w:tentative="1">
      <w:start w:val="1"/>
      <w:numFmt w:val="bullet"/>
      <w:lvlText w:val="–"/>
      <w:lvlJc w:val="left"/>
      <w:pPr>
        <w:tabs>
          <w:tab w:val="num" w:pos="5040"/>
        </w:tabs>
        <w:ind w:left="5040" w:hanging="360"/>
      </w:pPr>
      <w:rPr>
        <w:rFonts w:ascii="Ericsson Capital TT" w:hAnsi="Ericsson Capital TT" w:hint="default"/>
      </w:rPr>
    </w:lvl>
    <w:lvl w:ilvl="7" w:tplc="0518C15A" w:tentative="1">
      <w:start w:val="1"/>
      <w:numFmt w:val="bullet"/>
      <w:lvlText w:val="–"/>
      <w:lvlJc w:val="left"/>
      <w:pPr>
        <w:tabs>
          <w:tab w:val="num" w:pos="5760"/>
        </w:tabs>
        <w:ind w:left="5760" w:hanging="360"/>
      </w:pPr>
      <w:rPr>
        <w:rFonts w:ascii="Ericsson Capital TT" w:hAnsi="Ericsson Capital TT" w:hint="default"/>
      </w:rPr>
    </w:lvl>
    <w:lvl w:ilvl="8" w:tplc="2A683286"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25FF56A9"/>
    <w:multiLevelType w:val="hybridMultilevel"/>
    <w:tmpl w:val="6FBCE666"/>
    <w:lvl w:ilvl="0" w:tplc="E43EB79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2C14C7"/>
    <w:multiLevelType w:val="hybridMultilevel"/>
    <w:tmpl w:val="9EF2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36113"/>
    <w:multiLevelType w:val="hybridMultilevel"/>
    <w:tmpl w:val="E278B4D6"/>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A386E4A"/>
    <w:multiLevelType w:val="hybridMultilevel"/>
    <w:tmpl w:val="CA1C33A8"/>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nsid w:val="36BD3454"/>
    <w:multiLevelType w:val="hybridMultilevel"/>
    <w:tmpl w:val="7AC41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E35AA7"/>
    <w:multiLevelType w:val="hybridMultilevel"/>
    <w:tmpl w:val="11BCD4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364A55"/>
    <w:multiLevelType w:val="hybridMultilevel"/>
    <w:tmpl w:val="D640D38A"/>
    <w:lvl w:ilvl="0" w:tplc="EB20B6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9074561"/>
    <w:multiLevelType w:val="hybridMultilevel"/>
    <w:tmpl w:val="92823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B082AA7"/>
    <w:multiLevelType w:val="hybridMultilevel"/>
    <w:tmpl w:val="30942758"/>
    <w:lvl w:ilvl="0" w:tplc="D494EF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7F72E8"/>
    <w:multiLevelType w:val="hybridMultilevel"/>
    <w:tmpl w:val="16AAD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40C16F1"/>
    <w:multiLevelType w:val="hybridMultilevel"/>
    <w:tmpl w:val="C5BA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nsid w:val="5E2F0628"/>
    <w:multiLevelType w:val="hybridMultilevel"/>
    <w:tmpl w:val="A6C8B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EC61D76"/>
    <w:multiLevelType w:val="hybridMultilevel"/>
    <w:tmpl w:val="8A3EF3BE"/>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81547F"/>
    <w:multiLevelType w:val="hybridMultilevel"/>
    <w:tmpl w:val="2D3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6A2F56DB"/>
    <w:multiLevelType w:val="hybridMultilevel"/>
    <w:tmpl w:val="8CFC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AAC0E54"/>
    <w:multiLevelType w:val="hybridMultilevel"/>
    <w:tmpl w:val="170C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9631793"/>
    <w:multiLevelType w:val="hybridMultilevel"/>
    <w:tmpl w:val="4530C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8">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49">
    <w:nsid w:val="7DB13834"/>
    <w:multiLevelType w:val="hybridMultilevel"/>
    <w:tmpl w:val="E1D2E520"/>
    <w:lvl w:ilvl="0" w:tplc="B62C66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455981"/>
    <w:multiLevelType w:val="hybridMultilevel"/>
    <w:tmpl w:val="CA768CB6"/>
    <w:lvl w:ilvl="0" w:tplc="EB20B6B2">
      <w:numFmt w:val="bullet"/>
      <w:lvlText w:val="-"/>
      <w:lvlJc w:val="left"/>
      <w:pPr>
        <w:ind w:left="1028" w:hanging="360"/>
      </w:pPr>
      <w:rPr>
        <w:rFonts w:ascii="Times New Roman" w:eastAsia="SimSu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num w:numId="1">
    <w:abstractNumId w:val="30"/>
  </w:num>
  <w:num w:numId="2">
    <w:abstractNumId w:val="46"/>
  </w:num>
  <w:num w:numId="3">
    <w:abstractNumId w:val="42"/>
  </w:num>
  <w:num w:numId="4">
    <w:abstractNumId w:val="21"/>
  </w:num>
  <w:num w:numId="5">
    <w:abstractNumId w:val="27"/>
  </w:num>
  <w:num w:numId="6">
    <w:abstractNumId w:val="47"/>
  </w:num>
  <w:num w:numId="7">
    <w:abstractNumId w:val="6"/>
  </w:num>
  <w:num w:numId="8">
    <w:abstractNumId w:val="4"/>
  </w:num>
  <w:num w:numId="9">
    <w:abstractNumId w:val="34"/>
  </w:num>
  <w:num w:numId="10">
    <w:abstractNumId w:val="18"/>
  </w:num>
  <w:num w:numId="11">
    <w:abstractNumId w:val="40"/>
  </w:num>
  <w:num w:numId="12">
    <w:abstractNumId w:val="22"/>
  </w:num>
  <w:num w:numId="13">
    <w:abstractNumId w:val="35"/>
  </w:num>
  <w:num w:numId="14">
    <w:abstractNumId w:val="41"/>
  </w:num>
  <w:num w:numId="15">
    <w:abstractNumId w:val="37"/>
  </w:num>
  <w:num w:numId="16">
    <w:abstractNumId w:val="9"/>
  </w:num>
  <w:num w:numId="17">
    <w:abstractNumId w:val="23"/>
  </w:num>
  <w:num w:numId="18">
    <w:abstractNumId w:val="42"/>
  </w:num>
  <w:num w:numId="19">
    <w:abstractNumId w:val="42"/>
  </w:num>
  <w:num w:numId="20">
    <w:abstractNumId w:val="42"/>
  </w:num>
  <w:num w:numId="21">
    <w:abstractNumId w:val="42"/>
  </w:num>
  <w:num w:numId="22">
    <w:abstractNumId w:val="32"/>
  </w:num>
  <w:num w:numId="23">
    <w:abstractNumId w:val="14"/>
  </w:num>
  <w:num w:numId="24">
    <w:abstractNumId w:val="38"/>
  </w:num>
  <w:num w:numId="25">
    <w:abstractNumId w:val="8"/>
  </w:num>
  <w:num w:numId="26">
    <w:abstractNumId w:val="3"/>
  </w:num>
  <w:num w:numId="27">
    <w:abstractNumId w:val="42"/>
  </w:num>
  <w:num w:numId="28">
    <w:abstractNumId w:val="49"/>
  </w:num>
  <w:num w:numId="29">
    <w:abstractNumId w:val="42"/>
  </w:num>
  <w:num w:numId="30">
    <w:abstractNumId w:val="42"/>
  </w:num>
  <w:num w:numId="31">
    <w:abstractNumId w:val="42"/>
  </w:num>
  <w:num w:numId="32">
    <w:abstractNumId w:val="42"/>
  </w:num>
  <w:num w:numId="33">
    <w:abstractNumId w:val="28"/>
  </w:num>
  <w:num w:numId="34">
    <w:abstractNumId w:val="36"/>
  </w:num>
  <w:num w:numId="35">
    <w:abstractNumId w:val="42"/>
  </w:num>
  <w:num w:numId="36">
    <w:abstractNumId w:val="31"/>
  </w:num>
  <w:num w:numId="37">
    <w:abstractNumId w:val="17"/>
  </w:num>
  <w:num w:numId="38">
    <w:abstractNumId w:val="26"/>
  </w:num>
  <w:num w:numId="39">
    <w:abstractNumId w:val="29"/>
  </w:num>
  <w:num w:numId="40">
    <w:abstractNumId w:val="26"/>
  </w:num>
  <w:num w:numId="41">
    <w:abstractNumId w:val="24"/>
  </w:num>
  <w:num w:numId="42">
    <w:abstractNumId w:val="5"/>
  </w:num>
  <w:num w:numId="43">
    <w:abstractNumId w:val="39"/>
  </w:num>
  <w:num w:numId="44">
    <w:abstractNumId w:val="45"/>
  </w:num>
  <w:num w:numId="45">
    <w:abstractNumId w:val="7"/>
  </w:num>
  <w:num w:numId="46">
    <w:abstractNumId w:val="12"/>
  </w:num>
  <w:num w:numId="47">
    <w:abstractNumId w:val="1"/>
  </w:num>
  <w:num w:numId="48">
    <w:abstractNumId w:val="50"/>
  </w:num>
  <w:num w:numId="49">
    <w:abstractNumId w:val="33"/>
  </w:num>
  <w:num w:numId="50">
    <w:abstractNumId w:val="13"/>
  </w:num>
  <w:num w:numId="51">
    <w:abstractNumId w:val="42"/>
  </w:num>
  <w:num w:numId="52">
    <w:abstractNumId w:val="2"/>
  </w:num>
  <w:num w:numId="53">
    <w:abstractNumId w:val="48"/>
  </w:num>
  <w:num w:numId="54">
    <w:abstractNumId w:val="25"/>
  </w:num>
  <w:num w:numId="55">
    <w:abstractNumId w:val="43"/>
  </w:num>
  <w:num w:numId="56">
    <w:abstractNumId w:val="19"/>
  </w:num>
  <w:num w:numId="57">
    <w:abstractNumId w:val="15"/>
  </w:num>
  <w:num w:numId="58">
    <w:abstractNumId w:val="20"/>
  </w:num>
  <w:num w:numId="59">
    <w:abstractNumId w:val="10"/>
  </w:num>
  <w:num w:numId="60">
    <w:abstractNumId w:val="11"/>
  </w:num>
  <w:num w:numId="61">
    <w:abstractNumId w:val="44"/>
  </w:num>
  <w:num w:numId="62">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53E"/>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A25"/>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A7FF0"/>
    <w:rsid w:val="000B0910"/>
    <w:rsid w:val="000B101F"/>
    <w:rsid w:val="000B1048"/>
    <w:rsid w:val="000B14AD"/>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6BFD"/>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4F15"/>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269"/>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07E25"/>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3628"/>
    <w:rsid w:val="00223681"/>
    <w:rsid w:val="00223DC9"/>
    <w:rsid w:val="00223EAD"/>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B6F"/>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D7FC9"/>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5B3"/>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66D"/>
    <w:rsid w:val="00351B25"/>
    <w:rsid w:val="00351E64"/>
    <w:rsid w:val="003520AA"/>
    <w:rsid w:val="003521E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5E3"/>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6B55"/>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A32"/>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D5"/>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1B8"/>
    <w:rsid w:val="00435471"/>
    <w:rsid w:val="00435895"/>
    <w:rsid w:val="00435972"/>
    <w:rsid w:val="00436018"/>
    <w:rsid w:val="004364C5"/>
    <w:rsid w:val="00436FFD"/>
    <w:rsid w:val="0043746D"/>
    <w:rsid w:val="004374A3"/>
    <w:rsid w:val="00440391"/>
    <w:rsid w:val="00440E3D"/>
    <w:rsid w:val="004411FC"/>
    <w:rsid w:val="004413DB"/>
    <w:rsid w:val="004419A0"/>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A73"/>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B7F6E"/>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08C"/>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404"/>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17E76"/>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5BA"/>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73B"/>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83D"/>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440"/>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90D"/>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6C7"/>
    <w:rsid w:val="008D2729"/>
    <w:rsid w:val="008D3962"/>
    <w:rsid w:val="008D3F68"/>
    <w:rsid w:val="008D41A6"/>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001"/>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AA3"/>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631"/>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41C"/>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269"/>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70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49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23"/>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5D7"/>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664"/>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90A"/>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B08"/>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3EB4"/>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949"/>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A2C"/>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5E21"/>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18EC"/>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BD4"/>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47C04"/>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034"/>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88"/>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85E"/>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264"/>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1BE3"/>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309486">
      <w:bodyDiv w:val="1"/>
      <w:marLeft w:val="0"/>
      <w:marRight w:val="0"/>
      <w:marTop w:val="0"/>
      <w:marBottom w:val="0"/>
      <w:divBdr>
        <w:top w:val="none" w:sz="0" w:space="0" w:color="auto"/>
        <w:left w:val="none" w:sz="0" w:space="0" w:color="auto"/>
        <w:bottom w:val="none" w:sz="0" w:space="0" w:color="auto"/>
        <w:right w:val="none" w:sz="0" w:space="0" w:color="auto"/>
      </w:divBdr>
      <w:divsChild>
        <w:div w:id="1539665412">
          <w:marLeft w:val="835"/>
          <w:marRight w:val="0"/>
          <w:marTop w:val="86"/>
          <w:marBottom w:val="0"/>
          <w:divBdr>
            <w:top w:val="none" w:sz="0" w:space="0" w:color="auto"/>
            <w:left w:val="none" w:sz="0" w:space="0" w:color="auto"/>
            <w:bottom w:val="none" w:sz="0" w:space="0" w:color="auto"/>
            <w:right w:val="none" w:sz="0" w:space="0" w:color="auto"/>
          </w:divBdr>
        </w:div>
        <w:div w:id="1705784950">
          <w:marLeft w:val="1411"/>
          <w:marRight w:val="0"/>
          <w:marTop w:val="86"/>
          <w:marBottom w:val="0"/>
          <w:divBdr>
            <w:top w:val="none" w:sz="0" w:space="0" w:color="auto"/>
            <w:left w:val="none" w:sz="0" w:space="0" w:color="auto"/>
            <w:bottom w:val="none" w:sz="0" w:space="0" w:color="auto"/>
            <w:right w:val="none" w:sz="0" w:space="0" w:color="auto"/>
          </w:divBdr>
        </w:div>
        <w:div w:id="224415714">
          <w:marLeft w:val="1411"/>
          <w:marRight w:val="0"/>
          <w:marTop w:val="86"/>
          <w:marBottom w:val="0"/>
          <w:divBdr>
            <w:top w:val="none" w:sz="0" w:space="0" w:color="auto"/>
            <w:left w:val="none" w:sz="0" w:space="0" w:color="auto"/>
            <w:bottom w:val="none" w:sz="0" w:space="0" w:color="auto"/>
            <w:right w:val="none" w:sz="0" w:space="0" w:color="auto"/>
          </w:divBdr>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C7627-E5AB-4E05-A9C5-54916F12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2016-05-13T15:18:00Z</dcterms:modified>
</cp:coreProperties>
</file>